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084B6E2C"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1A6F7A">
        <w:rPr>
          <w:b/>
          <w:noProof/>
          <w:sz w:val="24"/>
        </w:rPr>
        <w:t>6</w:t>
      </w:r>
      <w:r w:rsidR="00DC5180" w:rsidRPr="0033027D">
        <w:rPr>
          <w:b/>
          <w:noProof/>
          <w:sz w:val="24"/>
        </w:rPr>
        <w:tab/>
      </w:r>
      <w:r w:rsidR="000E62A6" w:rsidRPr="000E62A6">
        <w:rPr>
          <w:b/>
          <w:noProof/>
          <w:sz w:val="24"/>
        </w:rPr>
        <w:t>R4-2010049</w:t>
      </w:r>
    </w:p>
    <w:p w14:paraId="63C63B34" w14:textId="5A3D4DC3" w:rsidR="001512D7" w:rsidRPr="0010618D" w:rsidRDefault="008D5410" w:rsidP="00DC5180">
      <w:pPr>
        <w:spacing w:after="60"/>
        <w:ind w:left="1985" w:hanging="1985"/>
        <w:rPr>
          <w:rFonts w:ascii="Arial" w:hAnsi="Arial" w:cs="Arial"/>
          <w:bCs/>
        </w:rPr>
      </w:pPr>
      <w:r>
        <w:rPr>
          <w:rFonts w:ascii="Arial" w:hAnsi="Arial" w:cs="Arial"/>
          <w:b/>
          <w:sz w:val="24"/>
        </w:rPr>
        <w:t>May</w:t>
      </w:r>
      <w:r w:rsidR="00766B19" w:rsidRPr="00766B19">
        <w:rPr>
          <w:rFonts w:ascii="Arial" w:hAnsi="Arial" w:cs="Arial"/>
          <w:b/>
          <w:sz w:val="24"/>
        </w:rPr>
        <w:t xml:space="preserve"> 2020</w:t>
      </w:r>
      <w:r w:rsidR="00766B19">
        <w:rPr>
          <w:rFonts w:ascii="Arial" w:hAnsi="Arial" w:cs="Arial"/>
          <w:b/>
          <w:sz w:val="24"/>
        </w:rPr>
        <w:br/>
      </w:r>
    </w:p>
    <w:p w14:paraId="46DA2A95" w14:textId="18D0387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F1595">
        <w:rPr>
          <w:rFonts w:ascii="Arial" w:hAnsi="Arial" w:cs="Arial"/>
          <w:b/>
        </w:rPr>
        <w:t>LO location for intra-band UL CA</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5099EDC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57AD8">
        <w:rPr>
          <w:rFonts w:ascii="Arial" w:hAnsi="Arial" w:cs="Arial"/>
          <w:b/>
        </w:rPr>
        <w:t>7.11.1.</w:t>
      </w:r>
      <w:r w:rsidR="00F4498C">
        <w:rPr>
          <w:rFonts w:ascii="Arial" w:hAnsi="Arial" w:cs="Arial"/>
          <w:b/>
        </w:rPr>
        <w:t>2</w:t>
      </w:r>
      <w:r w:rsidR="00BC0AD4">
        <w:rPr>
          <w:rFonts w:ascii="Arial" w:hAnsi="Arial" w:cs="Arial"/>
          <w:b/>
        </w:rPr>
        <w:t>.1</w:t>
      </w:r>
    </w:p>
    <w:p w14:paraId="41AD4397" w14:textId="584EA1FC"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p>
    <w:p w14:paraId="2F06D4B1" w14:textId="3D2F3D4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19B2EF39"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29628CE" w14:textId="65861BEB" w:rsidR="002A1C01" w:rsidRPr="00916F8E" w:rsidRDefault="00E33B8C" w:rsidP="008F13B3">
      <w:r>
        <w:t>In RAN4#9</w:t>
      </w:r>
      <w:r w:rsidR="006C5400">
        <w:t>4-Bis-e</w:t>
      </w:r>
      <w:r w:rsidR="009C39D8">
        <w:t xml:space="preserve"> a WF </w:t>
      </w:r>
      <w:r w:rsidR="00135A74">
        <w:t>[</w:t>
      </w:r>
      <w:r w:rsidR="006C5400">
        <w:t>1</w:t>
      </w:r>
      <w:r w:rsidR="00135A74">
        <w:t xml:space="preserve">] </w:t>
      </w:r>
      <w:r w:rsidR="009C39D8">
        <w:t>was agreed</w:t>
      </w:r>
      <w:r w:rsidR="006C5400">
        <w:t xml:space="preserve"> with open items for </w:t>
      </w:r>
      <w:r w:rsidR="006B741C">
        <w:t>how to distinguish IBM and CBM band pairs</w:t>
      </w:r>
      <w:r w:rsidR="003C0288">
        <w:t xml:space="preserve"> and </w:t>
      </w:r>
      <w:r w:rsidR="00014A9E">
        <w:t xml:space="preserve">PSD difference </w:t>
      </w:r>
      <w:r w:rsidR="00E41AF3">
        <w:t>value for IBM pair for spherical coverage and peak EIS. WF did not agree any requirements for CBM band pairs</w:t>
      </w:r>
      <w:r w:rsidR="00196027">
        <w:t>. This paper discusses</w:t>
      </w:r>
      <w:r w:rsidR="001A2964">
        <w:t xml:space="preserve"> open items from the WF and </w:t>
      </w:r>
      <w:r w:rsidR="00EA01B7">
        <w:t xml:space="preserve">other open issues for FR2 inter-band CA requirements. </w:t>
      </w:r>
    </w:p>
    <w:p w14:paraId="65A85401" w14:textId="697A8A6E" w:rsidR="00962566" w:rsidRDefault="000A567D" w:rsidP="00E33B8C">
      <w:pPr>
        <w:pStyle w:val="Heading1"/>
      </w:pPr>
      <w:r>
        <w:t xml:space="preserve">2. </w:t>
      </w:r>
      <w:r>
        <w:tab/>
      </w:r>
      <w:r w:rsidR="002A1C01">
        <w:t>Discussion</w:t>
      </w:r>
    </w:p>
    <w:p w14:paraId="1C76C644" w14:textId="4BF41053" w:rsidR="00B76A85" w:rsidRDefault="00F377E7" w:rsidP="000C0457">
      <w:pPr>
        <w:pStyle w:val="Heading2"/>
      </w:pPr>
      <w:r>
        <w:t>2.1</w:t>
      </w:r>
      <w:r w:rsidR="000C0457">
        <w:tab/>
      </w:r>
      <w:r w:rsidR="001A6F7A">
        <w:t>Rel-15</w:t>
      </w:r>
      <w:r w:rsidR="00AF0C73">
        <w:t xml:space="preserve"> signalling of TX DC location</w:t>
      </w:r>
    </w:p>
    <w:p w14:paraId="6D232A66" w14:textId="2645A304" w:rsidR="00AF0C73" w:rsidRDefault="00D00213" w:rsidP="00AF0C73">
      <w:r>
        <w:t xml:space="preserve">Last RAN4 meeting </w:t>
      </w:r>
      <w:r w:rsidR="005D401D">
        <w:t xml:space="preserve">there was a discussion and proposals to define LO location </w:t>
      </w:r>
      <w:r w:rsidR="00895A92">
        <w:t xml:space="preserve">based on specification </w:t>
      </w:r>
      <w:proofErr w:type="gramStart"/>
      <w:r w:rsidR="00895A92">
        <w:t>in to</w:t>
      </w:r>
      <w:proofErr w:type="gramEnd"/>
      <w:r w:rsidR="00895A92">
        <w:t xml:space="preserve"> some predefined locations. The Rel-15 framework allowed UE to place </w:t>
      </w:r>
      <w:r w:rsidR="00046DDD">
        <w:t>LO on any subcarrier</w:t>
      </w:r>
      <w:r w:rsidR="00C45431">
        <w:t xml:space="preserve"> (0-</w:t>
      </w:r>
      <w:r w:rsidR="008253FA">
        <w:t>32</w:t>
      </w:r>
      <w:r w:rsidR="00C45431">
        <w:t>99)</w:t>
      </w:r>
      <w:r w:rsidR="00046DDD">
        <w:t xml:space="preserve"> for each BWP or </w:t>
      </w:r>
      <w:r w:rsidR="00920D15" w:rsidRPr="00920D15">
        <w:rPr>
          <w:i/>
          <w:iCs/>
        </w:rPr>
        <w:t xml:space="preserve">"Outside the carrier" </w:t>
      </w:r>
      <w:r w:rsidR="00C45431">
        <w:t xml:space="preserve">(3300) or just </w:t>
      </w:r>
      <w:r w:rsidR="00920D15">
        <w:t>“</w:t>
      </w:r>
      <w:r w:rsidR="002F59D6" w:rsidRPr="002F59D6">
        <w:rPr>
          <w:i/>
          <w:iCs/>
        </w:rPr>
        <w:t>Undetermined position within the carrier</w:t>
      </w:r>
      <w:r w:rsidR="00920D15">
        <w:rPr>
          <w:i/>
          <w:iCs/>
        </w:rPr>
        <w:t>”</w:t>
      </w:r>
      <w:r w:rsidR="00C45431">
        <w:t xml:space="preserve"> (3301). </w:t>
      </w:r>
      <w:r w:rsidR="004523D4">
        <w:t>UE report</w:t>
      </w:r>
      <w:r w:rsidR="004E4609">
        <w:t>s</w:t>
      </w:r>
      <w:r w:rsidR="004523D4">
        <w:t xml:space="preserve"> the DC location as part of </w:t>
      </w:r>
      <w:proofErr w:type="spellStart"/>
      <w:r w:rsidR="003A4125" w:rsidRPr="003A4125">
        <w:t>RRCReconfigurationComplete</w:t>
      </w:r>
      <w:proofErr w:type="spellEnd"/>
      <w:r w:rsidR="003A4125">
        <w:t xml:space="preserve"> </w:t>
      </w:r>
      <w:r w:rsidR="004523D4">
        <w:t xml:space="preserve">report with parameter </w:t>
      </w:r>
      <w:proofErr w:type="spellStart"/>
      <w:r w:rsidR="00DE6416" w:rsidRPr="00DE6416">
        <w:rPr>
          <w:i/>
          <w:iCs/>
        </w:rPr>
        <w:t>uplinkTxDirectCurrentList</w:t>
      </w:r>
      <w:proofErr w:type="spellEnd"/>
      <w:r w:rsidR="00DE6416">
        <w:t xml:space="preserve">. The way this would be used that </w:t>
      </w:r>
      <w:r w:rsidR="005D5C74">
        <w:t>first network configured the BWP’s configured CC’s as shows below:</w:t>
      </w:r>
    </w:p>
    <w:p w14:paraId="6811B542" w14:textId="08A4507C" w:rsidR="005D5C74" w:rsidRPr="00AF0C73" w:rsidRDefault="000634C9" w:rsidP="00AF0C73">
      <w:r>
        <w:pict w14:anchorId="1F869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4.5pt">
            <v:imagedata r:id="rId6" o:title=""/>
          </v:shape>
        </w:pict>
      </w:r>
    </w:p>
    <w:p w14:paraId="7D4D9030" w14:textId="6CFD5ABD" w:rsidR="006A5015" w:rsidRDefault="004F2958" w:rsidP="00A45C69">
      <w:r>
        <w:t xml:space="preserve">And UE would report </w:t>
      </w:r>
      <w:r w:rsidR="00667FC8">
        <w:t xml:space="preserve">where it intends to put the LO for each configured BWP in each CC. UE has the option to reconfigure RF </w:t>
      </w:r>
      <w:r w:rsidR="00095874">
        <w:t xml:space="preserve">per BWP or keep the RF state the same i.e. it means </w:t>
      </w:r>
      <w:r w:rsidR="002E0825">
        <w:t>for every</w:t>
      </w:r>
      <w:r w:rsidR="00CB4EA2">
        <w:t>. In figure above, CC1 UE re</w:t>
      </w:r>
      <w:r w:rsidR="00073894">
        <w:t xml:space="preserve">-configured RF separately for each BWP and in CC2 UE always keeps the LO </w:t>
      </w:r>
      <w:r w:rsidR="00584247">
        <w:t xml:space="preserve">(red line) </w:t>
      </w:r>
      <w:r w:rsidR="00073894">
        <w:t xml:space="preserve">in </w:t>
      </w:r>
      <w:proofErr w:type="spellStart"/>
      <w:r w:rsidR="00073894">
        <w:t>center</w:t>
      </w:r>
      <w:proofErr w:type="spellEnd"/>
      <w:r w:rsidR="00073894">
        <w:t xml:space="preserve"> of </w:t>
      </w:r>
      <w:r w:rsidR="00C5603A">
        <w:t xml:space="preserve">the </w:t>
      </w:r>
      <w:r w:rsidR="00073894">
        <w:t xml:space="preserve">widest BWP </w:t>
      </w:r>
      <w:r w:rsidR="00C5603A">
        <w:t xml:space="preserve">which is the same as full channel. This description does not consider CA yet. </w:t>
      </w:r>
      <w:r w:rsidR="007A2A93">
        <w:t xml:space="preserve">For CC1, the index of </w:t>
      </w:r>
      <w:proofErr w:type="spellStart"/>
      <w:r w:rsidR="007A2A93" w:rsidRPr="00DE6416">
        <w:rPr>
          <w:i/>
          <w:iCs/>
        </w:rPr>
        <w:t>uplinkTxDirectCurrentLis</w:t>
      </w:r>
      <w:r w:rsidR="007A2A93">
        <w:rPr>
          <w:i/>
          <w:iCs/>
        </w:rPr>
        <w:t>t</w:t>
      </w:r>
      <w:proofErr w:type="spellEnd"/>
      <w:r w:rsidR="007A2A93">
        <w:rPr>
          <w:i/>
          <w:iCs/>
        </w:rPr>
        <w:t xml:space="preserve"> </w:t>
      </w:r>
      <w:r w:rsidR="007A2A93">
        <w:t xml:space="preserve">would be </w:t>
      </w:r>
      <w:r w:rsidR="00F84747">
        <w:t xml:space="preserve">different for each BWP. For CC2, it would be </w:t>
      </w:r>
      <w:r w:rsidR="003430BD">
        <w:t>the same for each BWP. Note that subcarrier index starts from the channel edge</w:t>
      </w:r>
      <w:r w:rsidR="006A5015">
        <w:t xml:space="preserve"> or which ever is indicated by the network as subcarrier 0. </w:t>
      </w:r>
    </w:p>
    <w:p w14:paraId="1B063C3B" w14:textId="47C4E77E" w:rsidR="00C226C5" w:rsidRDefault="006A5015" w:rsidP="00A45C69">
      <w:r>
        <w:lastRenderedPageBreak/>
        <w:t xml:space="preserve">For CC1 and CC2 individually, this </w:t>
      </w:r>
      <w:r w:rsidR="007A6BE3">
        <w:t xml:space="preserve">defines the </w:t>
      </w:r>
      <w:r w:rsidR="0049043A">
        <w:t>LO location explicitly</w:t>
      </w:r>
      <w:r w:rsidR="00687058">
        <w:t xml:space="preserve"> </w:t>
      </w:r>
      <w:r w:rsidR="001E58DA">
        <w:t xml:space="preserve">since no matter which BWP is activated, the LO location is known </w:t>
      </w:r>
      <w:r w:rsidR="00687058">
        <w:t xml:space="preserve">but for CA, the case is more complicated. As in single carrier case, UE </w:t>
      </w:r>
      <w:proofErr w:type="gramStart"/>
      <w:r w:rsidR="00687058">
        <w:t>is allowed to</w:t>
      </w:r>
      <w:proofErr w:type="gramEnd"/>
      <w:r w:rsidR="00687058">
        <w:t xml:space="preserve"> either keep RF BW the same or retune it based on </w:t>
      </w:r>
      <w:r w:rsidR="001E58DA">
        <w:t xml:space="preserve">activated BWP. </w:t>
      </w:r>
      <w:r w:rsidR="002849C1">
        <w:t xml:space="preserve">The problem what was presented earlier what the LO location may </w:t>
      </w:r>
      <w:r w:rsidR="00426CF6">
        <w:t xml:space="preserve">change in CC2 if active BWP is changed in CC1. </w:t>
      </w:r>
      <w:r w:rsidR="00CA40E2">
        <w:t>In figure below, the activated BWP in CC2 is changed from BWP4</w:t>
      </w:r>
      <w:r w:rsidR="00530519">
        <w:t xml:space="preserve"> (upper)</w:t>
      </w:r>
      <w:r w:rsidR="00CA40E2">
        <w:t xml:space="preserve"> to BWP2</w:t>
      </w:r>
      <w:r w:rsidR="00530519">
        <w:t xml:space="preserve"> (lower) and the LO may change the location</w:t>
      </w:r>
      <w:r w:rsidR="00F016D1">
        <w:t xml:space="preserve"> as shown with the red line. </w:t>
      </w:r>
    </w:p>
    <w:p w14:paraId="4E8F077D" w14:textId="7CBC617A" w:rsidR="006A5015" w:rsidRDefault="00F4112C" w:rsidP="00A45C69">
      <w:r w:rsidRPr="00F4112C">
        <w:pict w14:anchorId="0B9CF30F">
          <v:shape id="_x0000_i1028" type="#_x0000_t75" style="width:481pt;height:314pt">
            <v:imagedata r:id="rId7" o:title=""/>
          </v:shape>
        </w:pict>
      </w:r>
      <w:r w:rsidR="00F016D1">
        <w:t xml:space="preserve">Rel-15 </w:t>
      </w:r>
      <w:r w:rsidR="007B26AC">
        <w:t xml:space="preserve">still provides a way to read the LO location from the UE. Network can first configure the BWPs for both CC’s, then activate what it wants and then configure the same BWP’s again. In this same UE would keep the activated BWP’s and report the BWP location based on previous activation i.e. for upper it would report 3300 for all BWPs for both CC’s and </w:t>
      </w:r>
      <w:r w:rsidR="00AF4425">
        <w:t xml:space="preserve">it would report the corresponding subcarrier for CC1 and 3300 for CC2. </w:t>
      </w:r>
    </w:p>
    <w:p w14:paraId="2F9D957C" w14:textId="108ECDFC" w:rsidR="004335DB" w:rsidRDefault="004335DB" w:rsidP="00A45C69">
      <w:r>
        <w:t>This behaviour is not document but is implicitly</w:t>
      </w:r>
      <w:r w:rsidR="00B113ED">
        <w:t xml:space="preserve"> expressed</w:t>
      </w:r>
      <w:r>
        <w:t xml:space="preserve"> in the LO signalling framework. </w:t>
      </w:r>
      <w:r w:rsidR="00B113ED">
        <w:t xml:space="preserve">We agree with the concern that the behaviour could be clarified and </w:t>
      </w:r>
      <w:r w:rsidR="00AE2389">
        <w:t xml:space="preserve">perhaps a the LO location should be triggered by the BWP activation command. </w:t>
      </w:r>
      <w:r w:rsidR="00946315">
        <w:t xml:space="preserve">Same </w:t>
      </w:r>
      <w:proofErr w:type="spellStart"/>
      <w:r w:rsidR="006314E7" w:rsidRPr="00DE6416">
        <w:rPr>
          <w:i/>
          <w:iCs/>
        </w:rPr>
        <w:t>uplinkTxDirectCurrentList</w:t>
      </w:r>
      <w:proofErr w:type="spellEnd"/>
      <w:r w:rsidR="00946315">
        <w:t xml:space="preserve"> can be used for </w:t>
      </w:r>
      <w:r w:rsidR="006314E7">
        <w:t>reporting.</w:t>
      </w:r>
    </w:p>
    <w:p w14:paraId="756BE645" w14:textId="7D25504D" w:rsidR="00AE2389" w:rsidRDefault="00FD38F0" w:rsidP="00A45C69">
      <w:pPr>
        <w:rPr>
          <w:b/>
          <w:bCs/>
        </w:rPr>
      </w:pPr>
      <w:r w:rsidRPr="006314E7">
        <w:rPr>
          <w:b/>
          <w:bCs/>
        </w:rPr>
        <w:t>Prop</w:t>
      </w:r>
      <w:r w:rsidR="00946315" w:rsidRPr="006314E7">
        <w:rPr>
          <w:b/>
          <w:bCs/>
        </w:rPr>
        <w:t>o</w:t>
      </w:r>
      <w:r w:rsidRPr="006314E7">
        <w:rPr>
          <w:b/>
          <w:bCs/>
        </w:rPr>
        <w:t>sal: UE shall report the LO position after BWP activation command</w:t>
      </w:r>
      <w:r w:rsidR="00946315" w:rsidRPr="006314E7">
        <w:rPr>
          <w:b/>
          <w:bCs/>
        </w:rPr>
        <w:t xml:space="preserve"> </w:t>
      </w:r>
      <w:r w:rsidR="006314E7" w:rsidRPr="006314E7">
        <w:rPr>
          <w:b/>
          <w:bCs/>
        </w:rPr>
        <w:t xml:space="preserve">with same method as </w:t>
      </w:r>
      <w:proofErr w:type="spellStart"/>
      <w:r w:rsidR="006314E7" w:rsidRPr="006314E7">
        <w:rPr>
          <w:b/>
          <w:bCs/>
          <w:i/>
          <w:iCs/>
        </w:rPr>
        <w:t>uplinkTxDirectCurrentList</w:t>
      </w:r>
      <w:proofErr w:type="spellEnd"/>
      <w:r w:rsidRPr="006314E7">
        <w:rPr>
          <w:b/>
          <w:bCs/>
        </w:rPr>
        <w:t xml:space="preserve">. </w:t>
      </w:r>
    </w:p>
    <w:p w14:paraId="464561A0" w14:textId="634D2351" w:rsidR="000F62DE" w:rsidRPr="006314E7" w:rsidRDefault="006314E7" w:rsidP="00A45C69">
      <w:r>
        <w:t xml:space="preserve">It should be noted that </w:t>
      </w:r>
      <w:r w:rsidR="0018383E">
        <w:t xml:space="preserve">it is important to keep the </w:t>
      </w:r>
      <w:r w:rsidR="000F62DE">
        <w:t xml:space="preserve">assumption from Rel-15 that UE must be allowed to either re-tune based on the BWP or keep the LO position and RF bandwidth based on the channel. </w:t>
      </w:r>
      <w:r w:rsidR="004F7BD5">
        <w:t xml:space="preserve">The dashed red line in Figure above shows that UE can also keep </w:t>
      </w:r>
      <w:proofErr w:type="spellStart"/>
      <w:r w:rsidR="004F7BD5">
        <w:t>thr</w:t>
      </w:r>
      <w:proofErr w:type="spellEnd"/>
      <w:r w:rsidR="004F7BD5">
        <w:t xml:space="preserve"> LO where it was </w:t>
      </w:r>
      <w:r w:rsidR="007678FF">
        <w:t xml:space="preserve">before the BWP2 activated. It should be noted that these are not the only locations where UE can place the </w:t>
      </w:r>
      <w:proofErr w:type="gramStart"/>
      <w:r w:rsidR="007678FF">
        <w:t>LO</w:t>
      </w:r>
      <w:proofErr w:type="gramEnd"/>
      <w:r w:rsidR="007678FF">
        <w:t xml:space="preserve"> </w:t>
      </w:r>
      <w:r w:rsidR="00F22DEF">
        <w:t xml:space="preserve">but it can be any of the subcarriers or two other places as </w:t>
      </w:r>
      <w:proofErr w:type="spellStart"/>
      <w:r w:rsidR="00F22DEF">
        <w:t>explaind</w:t>
      </w:r>
      <w:proofErr w:type="spellEnd"/>
      <w:r w:rsidR="00F22DEF">
        <w:t xml:space="preserve"> in the beginning of this paper. </w:t>
      </w:r>
      <w:r w:rsidR="005A49C6">
        <w:t>Therefore,</w:t>
      </w:r>
      <w:r w:rsidR="000F62DE">
        <w:t xml:space="preserve"> a method where LO position is </w:t>
      </w:r>
      <w:r w:rsidR="004A5F9C">
        <w:t>defined in specification is not feasible even if there are few options</w:t>
      </w:r>
      <w:r w:rsidR="005A49C6">
        <w:t xml:space="preserve"> for it</w:t>
      </w:r>
      <w:r w:rsidR="004A5F9C">
        <w:t>.</w:t>
      </w:r>
    </w:p>
    <w:p w14:paraId="0EA2FD80" w14:textId="233D8E31" w:rsidR="009E54DA" w:rsidRPr="001E4305" w:rsidRDefault="009E54DA" w:rsidP="009E54DA">
      <w:pPr>
        <w:pStyle w:val="Heading1"/>
      </w:pPr>
      <w:r>
        <w:t>Conclusion</w:t>
      </w:r>
    </w:p>
    <w:p w14:paraId="0643867F" w14:textId="726E13FE" w:rsidR="00877F04" w:rsidRDefault="008807AB" w:rsidP="001A6F7A">
      <w:r w:rsidRPr="008D77C5">
        <w:t>We</w:t>
      </w:r>
      <w:r w:rsidR="006314E7">
        <w:t xml:space="preserve"> discussed the ambiguity </w:t>
      </w:r>
      <w:r w:rsidR="004A5F9C">
        <w:t xml:space="preserve">of LO position in </w:t>
      </w:r>
      <w:r w:rsidR="00A77E51">
        <w:t xml:space="preserve">intra-band CA and provided a method that respect earlier agreement and relies and refines the existing Rel-15 method. </w:t>
      </w:r>
      <w:r w:rsidR="000634C9">
        <w:t xml:space="preserve">To enable </w:t>
      </w:r>
      <w:proofErr w:type="spellStart"/>
      <w:r w:rsidR="000634C9">
        <w:t>thet</w:t>
      </w:r>
      <w:proofErr w:type="spellEnd"/>
      <w:r w:rsidR="000634C9">
        <w:t xml:space="preserve"> method, we made one proposal:</w:t>
      </w:r>
    </w:p>
    <w:p w14:paraId="194347B2" w14:textId="2FF75685" w:rsidR="00524CE4" w:rsidRPr="00F22DEF" w:rsidRDefault="000634C9" w:rsidP="00F22DEF">
      <w:pPr>
        <w:rPr>
          <w:b/>
          <w:bCs/>
        </w:rPr>
      </w:pPr>
      <w:r w:rsidRPr="006314E7">
        <w:rPr>
          <w:b/>
          <w:bCs/>
        </w:rPr>
        <w:t xml:space="preserve">Proposal: UE shall report the LO position after BWP activation command with same method as </w:t>
      </w:r>
      <w:proofErr w:type="spellStart"/>
      <w:r w:rsidRPr="006314E7">
        <w:rPr>
          <w:b/>
          <w:bCs/>
          <w:i/>
          <w:iCs/>
        </w:rPr>
        <w:t>uplinkTxDirectCurrentList</w:t>
      </w:r>
      <w:proofErr w:type="spellEnd"/>
      <w:r w:rsidRPr="006314E7">
        <w:rPr>
          <w:b/>
          <w:bCs/>
        </w:rPr>
        <w:t xml:space="preserve">. </w:t>
      </w:r>
    </w:p>
    <w:sectPr w:rsidR="00524CE4"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0"/>
  </w:num>
  <w:num w:numId="12">
    <w:abstractNumId w:val="8"/>
  </w:num>
  <w:num w:numId="13">
    <w:abstractNumId w:val="15"/>
  </w:num>
  <w:num w:numId="14">
    <w:abstractNumId w:val="9"/>
  </w:num>
  <w:num w:numId="15">
    <w:abstractNumId w:val="7"/>
  </w:num>
  <w:num w:numId="16">
    <w:abstractNumId w:val="18"/>
  </w:num>
  <w:num w:numId="17">
    <w:abstractNumId w:val="11"/>
  </w:num>
  <w:num w:numId="18">
    <w:abstractNumId w:val="17"/>
  </w:num>
  <w:num w:numId="19">
    <w:abstractNumId w:val="1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362F"/>
    <w:rsid w:val="00014A9E"/>
    <w:rsid w:val="000175AC"/>
    <w:rsid w:val="00021CED"/>
    <w:rsid w:val="00022941"/>
    <w:rsid w:val="000235E9"/>
    <w:rsid w:val="00026030"/>
    <w:rsid w:val="000262B9"/>
    <w:rsid w:val="00031D75"/>
    <w:rsid w:val="00032669"/>
    <w:rsid w:val="00037A84"/>
    <w:rsid w:val="000454A9"/>
    <w:rsid w:val="00046DDD"/>
    <w:rsid w:val="0005452D"/>
    <w:rsid w:val="0006136D"/>
    <w:rsid w:val="00062E39"/>
    <w:rsid w:val="000634C9"/>
    <w:rsid w:val="00064C6C"/>
    <w:rsid w:val="00065FBC"/>
    <w:rsid w:val="00070AD8"/>
    <w:rsid w:val="00072A56"/>
    <w:rsid w:val="00073894"/>
    <w:rsid w:val="00077EB3"/>
    <w:rsid w:val="00084322"/>
    <w:rsid w:val="000872D5"/>
    <w:rsid w:val="000908D9"/>
    <w:rsid w:val="00095874"/>
    <w:rsid w:val="00097642"/>
    <w:rsid w:val="000A3E2A"/>
    <w:rsid w:val="000A567D"/>
    <w:rsid w:val="000A643B"/>
    <w:rsid w:val="000A6859"/>
    <w:rsid w:val="000A6BC3"/>
    <w:rsid w:val="000B0067"/>
    <w:rsid w:val="000B4F74"/>
    <w:rsid w:val="000B6A7A"/>
    <w:rsid w:val="000B7218"/>
    <w:rsid w:val="000C0457"/>
    <w:rsid w:val="000C39B0"/>
    <w:rsid w:val="000C54C4"/>
    <w:rsid w:val="000C60D1"/>
    <w:rsid w:val="000C678D"/>
    <w:rsid w:val="000C6DF1"/>
    <w:rsid w:val="000D0FE7"/>
    <w:rsid w:val="000D18EC"/>
    <w:rsid w:val="000D406F"/>
    <w:rsid w:val="000E0A10"/>
    <w:rsid w:val="000E26BD"/>
    <w:rsid w:val="000E406C"/>
    <w:rsid w:val="000E4512"/>
    <w:rsid w:val="000E596C"/>
    <w:rsid w:val="000E62A6"/>
    <w:rsid w:val="000E7126"/>
    <w:rsid w:val="000E7763"/>
    <w:rsid w:val="000F1498"/>
    <w:rsid w:val="000F4FB3"/>
    <w:rsid w:val="000F502F"/>
    <w:rsid w:val="000F519D"/>
    <w:rsid w:val="000F62DE"/>
    <w:rsid w:val="000F65D1"/>
    <w:rsid w:val="000F7B37"/>
    <w:rsid w:val="000F7ECB"/>
    <w:rsid w:val="00100B99"/>
    <w:rsid w:val="001015AF"/>
    <w:rsid w:val="001029C9"/>
    <w:rsid w:val="00102C0E"/>
    <w:rsid w:val="00104902"/>
    <w:rsid w:val="0010618D"/>
    <w:rsid w:val="00112950"/>
    <w:rsid w:val="00116429"/>
    <w:rsid w:val="001214AE"/>
    <w:rsid w:val="0012188A"/>
    <w:rsid w:val="00122190"/>
    <w:rsid w:val="001221C9"/>
    <w:rsid w:val="0012277A"/>
    <w:rsid w:val="0012444A"/>
    <w:rsid w:val="0012615B"/>
    <w:rsid w:val="00126E1A"/>
    <w:rsid w:val="00131AFF"/>
    <w:rsid w:val="001351EB"/>
    <w:rsid w:val="00135A74"/>
    <w:rsid w:val="0014180B"/>
    <w:rsid w:val="00144F7C"/>
    <w:rsid w:val="00144FDD"/>
    <w:rsid w:val="001512D7"/>
    <w:rsid w:val="0015336A"/>
    <w:rsid w:val="00156359"/>
    <w:rsid w:val="001573DA"/>
    <w:rsid w:val="001600C2"/>
    <w:rsid w:val="00161C73"/>
    <w:rsid w:val="00166E70"/>
    <w:rsid w:val="00171914"/>
    <w:rsid w:val="00180BAA"/>
    <w:rsid w:val="00182ACA"/>
    <w:rsid w:val="0018383E"/>
    <w:rsid w:val="001927C1"/>
    <w:rsid w:val="00194778"/>
    <w:rsid w:val="00196027"/>
    <w:rsid w:val="001965EF"/>
    <w:rsid w:val="00196AD3"/>
    <w:rsid w:val="001A09A7"/>
    <w:rsid w:val="001A0F25"/>
    <w:rsid w:val="001A2964"/>
    <w:rsid w:val="001A6F7A"/>
    <w:rsid w:val="001B21BD"/>
    <w:rsid w:val="001B3183"/>
    <w:rsid w:val="001B515F"/>
    <w:rsid w:val="001B7369"/>
    <w:rsid w:val="001B746E"/>
    <w:rsid w:val="001C54B6"/>
    <w:rsid w:val="001C6513"/>
    <w:rsid w:val="001D2C8E"/>
    <w:rsid w:val="001D4399"/>
    <w:rsid w:val="001D4948"/>
    <w:rsid w:val="001D50F8"/>
    <w:rsid w:val="001D6ACD"/>
    <w:rsid w:val="001E21C9"/>
    <w:rsid w:val="001E3B48"/>
    <w:rsid w:val="001E4305"/>
    <w:rsid w:val="001E58DA"/>
    <w:rsid w:val="001E5EAD"/>
    <w:rsid w:val="001E65C4"/>
    <w:rsid w:val="001F0314"/>
    <w:rsid w:val="001F12F9"/>
    <w:rsid w:val="001F62BD"/>
    <w:rsid w:val="00200596"/>
    <w:rsid w:val="00201520"/>
    <w:rsid w:val="00201FB4"/>
    <w:rsid w:val="00202E77"/>
    <w:rsid w:val="002037B6"/>
    <w:rsid w:val="00203D36"/>
    <w:rsid w:val="002071A9"/>
    <w:rsid w:val="00211DCE"/>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C98"/>
    <w:rsid w:val="002553F6"/>
    <w:rsid w:val="00256DDC"/>
    <w:rsid w:val="0026064B"/>
    <w:rsid w:val="002611B2"/>
    <w:rsid w:val="00266CCC"/>
    <w:rsid w:val="002702A8"/>
    <w:rsid w:val="002715F5"/>
    <w:rsid w:val="00271A13"/>
    <w:rsid w:val="00271A4B"/>
    <w:rsid w:val="00271E8B"/>
    <w:rsid w:val="00272536"/>
    <w:rsid w:val="00276127"/>
    <w:rsid w:val="00281315"/>
    <w:rsid w:val="002820E8"/>
    <w:rsid w:val="00283688"/>
    <w:rsid w:val="002849C1"/>
    <w:rsid w:val="00287F7B"/>
    <w:rsid w:val="002927A0"/>
    <w:rsid w:val="00292875"/>
    <w:rsid w:val="00292FFA"/>
    <w:rsid w:val="00293E95"/>
    <w:rsid w:val="002952A2"/>
    <w:rsid w:val="002960BC"/>
    <w:rsid w:val="00296FE3"/>
    <w:rsid w:val="002A08FE"/>
    <w:rsid w:val="002A1465"/>
    <w:rsid w:val="002A1C01"/>
    <w:rsid w:val="002A67BE"/>
    <w:rsid w:val="002B09A1"/>
    <w:rsid w:val="002B0C23"/>
    <w:rsid w:val="002B3F06"/>
    <w:rsid w:val="002B448D"/>
    <w:rsid w:val="002B76BD"/>
    <w:rsid w:val="002C188C"/>
    <w:rsid w:val="002C3BFC"/>
    <w:rsid w:val="002C65B6"/>
    <w:rsid w:val="002C6CD2"/>
    <w:rsid w:val="002D4CC7"/>
    <w:rsid w:val="002D4FBE"/>
    <w:rsid w:val="002D6A81"/>
    <w:rsid w:val="002E00C3"/>
    <w:rsid w:val="002E0825"/>
    <w:rsid w:val="002E1D81"/>
    <w:rsid w:val="002E2692"/>
    <w:rsid w:val="002E332E"/>
    <w:rsid w:val="002E5B26"/>
    <w:rsid w:val="002E7011"/>
    <w:rsid w:val="002F1C8C"/>
    <w:rsid w:val="002F28ED"/>
    <w:rsid w:val="002F3968"/>
    <w:rsid w:val="002F59D6"/>
    <w:rsid w:val="00300502"/>
    <w:rsid w:val="00300B80"/>
    <w:rsid w:val="00301D5D"/>
    <w:rsid w:val="00301D8D"/>
    <w:rsid w:val="00302E72"/>
    <w:rsid w:val="003030FB"/>
    <w:rsid w:val="0030770F"/>
    <w:rsid w:val="003108D3"/>
    <w:rsid w:val="00311B66"/>
    <w:rsid w:val="00313C0D"/>
    <w:rsid w:val="0031433F"/>
    <w:rsid w:val="00314F38"/>
    <w:rsid w:val="00317D5E"/>
    <w:rsid w:val="00324D06"/>
    <w:rsid w:val="0033053A"/>
    <w:rsid w:val="00331FD7"/>
    <w:rsid w:val="00333C34"/>
    <w:rsid w:val="00335CDC"/>
    <w:rsid w:val="00335E78"/>
    <w:rsid w:val="00341516"/>
    <w:rsid w:val="003430BD"/>
    <w:rsid w:val="0034635A"/>
    <w:rsid w:val="003476B3"/>
    <w:rsid w:val="003562D7"/>
    <w:rsid w:val="00360A8C"/>
    <w:rsid w:val="00360EAB"/>
    <w:rsid w:val="00365A0B"/>
    <w:rsid w:val="003665F7"/>
    <w:rsid w:val="00367DF1"/>
    <w:rsid w:val="003701E8"/>
    <w:rsid w:val="00375AA5"/>
    <w:rsid w:val="00377E78"/>
    <w:rsid w:val="0038547C"/>
    <w:rsid w:val="003869CF"/>
    <w:rsid w:val="0038770D"/>
    <w:rsid w:val="003906EA"/>
    <w:rsid w:val="00392B77"/>
    <w:rsid w:val="00396CB4"/>
    <w:rsid w:val="0039732A"/>
    <w:rsid w:val="003A1D5C"/>
    <w:rsid w:val="003A281C"/>
    <w:rsid w:val="003A2C17"/>
    <w:rsid w:val="003A4125"/>
    <w:rsid w:val="003A42FF"/>
    <w:rsid w:val="003A43B2"/>
    <w:rsid w:val="003A4CD3"/>
    <w:rsid w:val="003B2D77"/>
    <w:rsid w:val="003B3C8C"/>
    <w:rsid w:val="003B4BF2"/>
    <w:rsid w:val="003B6F17"/>
    <w:rsid w:val="003C0288"/>
    <w:rsid w:val="003C3383"/>
    <w:rsid w:val="003D0400"/>
    <w:rsid w:val="003D47B2"/>
    <w:rsid w:val="003D5830"/>
    <w:rsid w:val="003D5A84"/>
    <w:rsid w:val="003E244A"/>
    <w:rsid w:val="003E30B4"/>
    <w:rsid w:val="003E4CBC"/>
    <w:rsid w:val="003E722B"/>
    <w:rsid w:val="003F01CB"/>
    <w:rsid w:val="003F1136"/>
    <w:rsid w:val="003F1156"/>
    <w:rsid w:val="003F1C99"/>
    <w:rsid w:val="003F30E0"/>
    <w:rsid w:val="003F6DA5"/>
    <w:rsid w:val="004062E5"/>
    <w:rsid w:val="00407CB8"/>
    <w:rsid w:val="004127B2"/>
    <w:rsid w:val="00413286"/>
    <w:rsid w:val="00414CE5"/>
    <w:rsid w:val="00415D3D"/>
    <w:rsid w:val="00424223"/>
    <w:rsid w:val="00424D1C"/>
    <w:rsid w:val="00425DF4"/>
    <w:rsid w:val="00426CF6"/>
    <w:rsid w:val="00432734"/>
    <w:rsid w:val="00432D09"/>
    <w:rsid w:val="004335DB"/>
    <w:rsid w:val="00433CDA"/>
    <w:rsid w:val="00435B76"/>
    <w:rsid w:val="00443CB8"/>
    <w:rsid w:val="0044474F"/>
    <w:rsid w:val="00447AB8"/>
    <w:rsid w:val="00447AF2"/>
    <w:rsid w:val="004500AC"/>
    <w:rsid w:val="004509CB"/>
    <w:rsid w:val="004523D4"/>
    <w:rsid w:val="00453E36"/>
    <w:rsid w:val="004541E5"/>
    <w:rsid w:val="0045428D"/>
    <w:rsid w:val="004544D6"/>
    <w:rsid w:val="00457F94"/>
    <w:rsid w:val="004601B1"/>
    <w:rsid w:val="004609D7"/>
    <w:rsid w:val="00462017"/>
    <w:rsid w:val="004673F2"/>
    <w:rsid w:val="004708F7"/>
    <w:rsid w:val="00471253"/>
    <w:rsid w:val="00474FE5"/>
    <w:rsid w:val="00476DD5"/>
    <w:rsid w:val="00481250"/>
    <w:rsid w:val="00482C49"/>
    <w:rsid w:val="00484A20"/>
    <w:rsid w:val="00484C72"/>
    <w:rsid w:val="00485264"/>
    <w:rsid w:val="0049043A"/>
    <w:rsid w:val="00493943"/>
    <w:rsid w:val="00495F5B"/>
    <w:rsid w:val="00496FBC"/>
    <w:rsid w:val="004A402E"/>
    <w:rsid w:val="004A5F9C"/>
    <w:rsid w:val="004A75DD"/>
    <w:rsid w:val="004B37BC"/>
    <w:rsid w:val="004B3B08"/>
    <w:rsid w:val="004B46A0"/>
    <w:rsid w:val="004B7001"/>
    <w:rsid w:val="004C1484"/>
    <w:rsid w:val="004C2003"/>
    <w:rsid w:val="004C4B54"/>
    <w:rsid w:val="004C7E10"/>
    <w:rsid w:val="004D07E9"/>
    <w:rsid w:val="004D17AA"/>
    <w:rsid w:val="004D2A08"/>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78BC"/>
    <w:rsid w:val="004F1595"/>
    <w:rsid w:val="004F2958"/>
    <w:rsid w:val="004F4D2D"/>
    <w:rsid w:val="004F6C74"/>
    <w:rsid w:val="004F7BD5"/>
    <w:rsid w:val="00505AFA"/>
    <w:rsid w:val="00505F2F"/>
    <w:rsid w:val="0051074B"/>
    <w:rsid w:val="005120D5"/>
    <w:rsid w:val="00521539"/>
    <w:rsid w:val="00524CE4"/>
    <w:rsid w:val="005260DB"/>
    <w:rsid w:val="00526470"/>
    <w:rsid w:val="005266F8"/>
    <w:rsid w:val="00530519"/>
    <w:rsid w:val="00531A15"/>
    <w:rsid w:val="00532DE4"/>
    <w:rsid w:val="00532EAA"/>
    <w:rsid w:val="005341AC"/>
    <w:rsid w:val="00534509"/>
    <w:rsid w:val="005436E7"/>
    <w:rsid w:val="00545BAE"/>
    <w:rsid w:val="005520D7"/>
    <w:rsid w:val="005536D9"/>
    <w:rsid w:val="00554CBF"/>
    <w:rsid w:val="00556F90"/>
    <w:rsid w:val="00560168"/>
    <w:rsid w:val="00560403"/>
    <w:rsid w:val="005610AD"/>
    <w:rsid w:val="00562289"/>
    <w:rsid w:val="00562430"/>
    <w:rsid w:val="00562DA2"/>
    <w:rsid w:val="00566A51"/>
    <w:rsid w:val="00570432"/>
    <w:rsid w:val="00571120"/>
    <w:rsid w:val="00573B9F"/>
    <w:rsid w:val="0057452A"/>
    <w:rsid w:val="00581B2C"/>
    <w:rsid w:val="005839AE"/>
    <w:rsid w:val="0058408C"/>
    <w:rsid w:val="00584247"/>
    <w:rsid w:val="0058669B"/>
    <w:rsid w:val="0059257A"/>
    <w:rsid w:val="005948A0"/>
    <w:rsid w:val="0059713F"/>
    <w:rsid w:val="0059740E"/>
    <w:rsid w:val="0059794A"/>
    <w:rsid w:val="00597FAA"/>
    <w:rsid w:val="005A0542"/>
    <w:rsid w:val="005A0684"/>
    <w:rsid w:val="005A0F40"/>
    <w:rsid w:val="005A11AB"/>
    <w:rsid w:val="005A2DD0"/>
    <w:rsid w:val="005A2EF8"/>
    <w:rsid w:val="005A49C6"/>
    <w:rsid w:val="005A5500"/>
    <w:rsid w:val="005A72BD"/>
    <w:rsid w:val="005B03DB"/>
    <w:rsid w:val="005B07E1"/>
    <w:rsid w:val="005B0FD1"/>
    <w:rsid w:val="005B16F2"/>
    <w:rsid w:val="005B191A"/>
    <w:rsid w:val="005B4A28"/>
    <w:rsid w:val="005B6347"/>
    <w:rsid w:val="005B7B72"/>
    <w:rsid w:val="005C0D66"/>
    <w:rsid w:val="005C1194"/>
    <w:rsid w:val="005C11A1"/>
    <w:rsid w:val="005C40A7"/>
    <w:rsid w:val="005C54B2"/>
    <w:rsid w:val="005C5A3E"/>
    <w:rsid w:val="005D1530"/>
    <w:rsid w:val="005D1BD4"/>
    <w:rsid w:val="005D2EF9"/>
    <w:rsid w:val="005D3879"/>
    <w:rsid w:val="005D401D"/>
    <w:rsid w:val="005D5C74"/>
    <w:rsid w:val="005E1DB3"/>
    <w:rsid w:val="005E2B0B"/>
    <w:rsid w:val="005E4466"/>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8AE"/>
    <w:rsid w:val="00614AF8"/>
    <w:rsid w:val="00614B5C"/>
    <w:rsid w:val="00617804"/>
    <w:rsid w:val="00620F8A"/>
    <w:rsid w:val="00625932"/>
    <w:rsid w:val="006314E7"/>
    <w:rsid w:val="00634393"/>
    <w:rsid w:val="006360DE"/>
    <w:rsid w:val="00641EC1"/>
    <w:rsid w:val="006443D3"/>
    <w:rsid w:val="00644CC0"/>
    <w:rsid w:val="006465F2"/>
    <w:rsid w:val="00647A95"/>
    <w:rsid w:val="00650408"/>
    <w:rsid w:val="00652416"/>
    <w:rsid w:val="00656CE9"/>
    <w:rsid w:val="00657534"/>
    <w:rsid w:val="006614F9"/>
    <w:rsid w:val="00663B65"/>
    <w:rsid w:val="00664963"/>
    <w:rsid w:val="006657B6"/>
    <w:rsid w:val="00665B0A"/>
    <w:rsid w:val="00667FC8"/>
    <w:rsid w:val="00670FCC"/>
    <w:rsid w:val="006738DE"/>
    <w:rsid w:val="00674D9B"/>
    <w:rsid w:val="0068118E"/>
    <w:rsid w:val="006815CF"/>
    <w:rsid w:val="006834CE"/>
    <w:rsid w:val="00687058"/>
    <w:rsid w:val="00687DAF"/>
    <w:rsid w:val="00691155"/>
    <w:rsid w:val="00691500"/>
    <w:rsid w:val="00694771"/>
    <w:rsid w:val="00695AC8"/>
    <w:rsid w:val="00695F3B"/>
    <w:rsid w:val="00696381"/>
    <w:rsid w:val="00697224"/>
    <w:rsid w:val="006A084D"/>
    <w:rsid w:val="006A3DD3"/>
    <w:rsid w:val="006A5015"/>
    <w:rsid w:val="006B00EC"/>
    <w:rsid w:val="006B17AA"/>
    <w:rsid w:val="006B1BAA"/>
    <w:rsid w:val="006B3E20"/>
    <w:rsid w:val="006B4134"/>
    <w:rsid w:val="006B4A0C"/>
    <w:rsid w:val="006B4F48"/>
    <w:rsid w:val="006B592B"/>
    <w:rsid w:val="006B741C"/>
    <w:rsid w:val="006C0280"/>
    <w:rsid w:val="006C14EE"/>
    <w:rsid w:val="006C16CD"/>
    <w:rsid w:val="006C1B88"/>
    <w:rsid w:val="006C3160"/>
    <w:rsid w:val="006C410C"/>
    <w:rsid w:val="006C4938"/>
    <w:rsid w:val="006C5400"/>
    <w:rsid w:val="006D0115"/>
    <w:rsid w:val="006D244C"/>
    <w:rsid w:val="006D5E7B"/>
    <w:rsid w:val="006D67CA"/>
    <w:rsid w:val="006E06A3"/>
    <w:rsid w:val="006E159B"/>
    <w:rsid w:val="006E274D"/>
    <w:rsid w:val="006E7458"/>
    <w:rsid w:val="006F2300"/>
    <w:rsid w:val="006F3F1A"/>
    <w:rsid w:val="006F77A5"/>
    <w:rsid w:val="007001AE"/>
    <w:rsid w:val="007009E6"/>
    <w:rsid w:val="0070377D"/>
    <w:rsid w:val="0070412E"/>
    <w:rsid w:val="00706B0F"/>
    <w:rsid w:val="007070AF"/>
    <w:rsid w:val="007077C3"/>
    <w:rsid w:val="00707C92"/>
    <w:rsid w:val="00711AAA"/>
    <w:rsid w:val="00711CAC"/>
    <w:rsid w:val="00713B09"/>
    <w:rsid w:val="00713B49"/>
    <w:rsid w:val="00715433"/>
    <w:rsid w:val="00721F34"/>
    <w:rsid w:val="00722A7E"/>
    <w:rsid w:val="007244F1"/>
    <w:rsid w:val="007254B7"/>
    <w:rsid w:val="00726438"/>
    <w:rsid w:val="007323E6"/>
    <w:rsid w:val="00733CD6"/>
    <w:rsid w:val="007403D3"/>
    <w:rsid w:val="00741A5C"/>
    <w:rsid w:val="00741F57"/>
    <w:rsid w:val="007477B0"/>
    <w:rsid w:val="00750F37"/>
    <w:rsid w:val="00752554"/>
    <w:rsid w:val="00753BFB"/>
    <w:rsid w:val="00757789"/>
    <w:rsid w:val="00757E61"/>
    <w:rsid w:val="00763E7F"/>
    <w:rsid w:val="00765DA2"/>
    <w:rsid w:val="00766B19"/>
    <w:rsid w:val="007678FF"/>
    <w:rsid w:val="00772202"/>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A1A88"/>
    <w:rsid w:val="007A1C3F"/>
    <w:rsid w:val="007A2A93"/>
    <w:rsid w:val="007A305C"/>
    <w:rsid w:val="007A4163"/>
    <w:rsid w:val="007A63CA"/>
    <w:rsid w:val="007A6BE3"/>
    <w:rsid w:val="007A74CC"/>
    <w:rsid w:val="007B0169"/>
    <w:rsid w:val="007B0823"/>
    <w:rsid w:val="007B1B75"/>
    <w:rsid w:val="007B26AC"/>
    <w:rsid w:val="007B487C"/>
    <w:rsid w:val="007B605F"/>
    <w:rsid w:val="007B6C37"/>
    <w:rsid w:val="007B6FCF"/>
    <w:rsid w:val="007B75DD"/>
    <w:rsid w:val="007C1BB2"/>
    <w:rsid w:val="007C4CA8"/>
    <w:rsid w:val="007C501E"/>
    <w:rsid w:val="007C6050"/>
    <w:rsid w:val="007C721F"/>
    <w:rsid w:val="007C7B00"/>
    <w:rsid w:val="007D0000"/>
    <w:rsid w:val="007D3C2D"/>
    <w:rsid w:val="007D7F6F"/>
    <w:rsid w:val="007E0FFC"/>
    <w:rsid w:val="007E1DE0"/>
    <w:rsid w:val="007E46A6"/>
    <w:rsid w:val="007E62D2"/>
    <w:rsid w:val="007F1B57"/>
    <w:rsid w:val="007F53EB"/>
    <w:rsid w:val="007F5687"/>
    <w:rsid w:val="007F5A2D"/>
    <w:rsid w:val="008013A1"/>
    <w:rsid w:val="0080320A"/>
    <w:rsid w:val="00804F41"/>
    <w:rsid w:val="00805A8B"/>
    <w:rsid w:val="008066AD"/>
    <w:rsid w:val="008075AB"/>
    <w:rsid w:val="008076D6"/>
    <w:rsid w:val="00822D69"/>
    <w:rsid w:val="0082323B"/>
    <w:rsid w:val="008253FA"/>
    <w:rsid w:val="00825422"/>
    <w:rsid w:val="008260DD"/>
    <w:rsid w:val="00830C2E"/>
    <w:rsid w:val="00835AEA"/>
    <w:rsid w:val="008360D5"/>
    <w:rsid w:val="00840BDF"/>
    <w:rsid w:val="00843682"/>
    <w:rsid w:val="00843945"/>
    <w:rsid w:val="00850213"/>
    <w:rsid w:val="00852493"/>
    <w:rsid w:val="00854CDE"/>
    <w:rsid w:val="008561B0"/>
    <w:rsid w:val="00857B33"/>
    <w:rsid w:val="00862D21"/>
    <w:rsid w:val="00864B3C"/>
    <w:rsid w:val="00876C63"/>
    <w:rsid w:val="00877F04"/>
    <w:rsid w:val="008807AB"/>
    <w:rsid w:val="00881ABF"/>
    <w:rsid w:val="00881B6A"/>
    <w:rsid w:val="00885E3A"/>
    <w:rsid w:val="00886969"/>
    <w:rsid w:val="00895A92"/>
    <w:rsid w:val="008A4C1E"/>
    <w:rsid w:val="008A5B17"/>
    <w:rsid w:val="008B0FCF"/>
    <w:rsid w:val="008B5B7D"/>
    <w:rsid w:val="008C48DA"/>
    <w:rsid w:val="008D305A"/>
    <w:rsid w:val="008D43D4"/>
    <w:rsid w:val="008D5410"/>
    <w:rsid w:val="008D77C5"/>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F8E"/>
    <w:rsid w:val="00920D15"/>
    <w:rsid w:val="00921764"/>
    <w:rsid w:val="00924FF7"/>
    <w:rsid w:val="0092542D"/>
    <w:rsid w:val="00932943"/>
    <w:rsid w:val="00934028"/>
    <w:rsid w:val="0093408A"/>
    <w:rsid w:val="00934DE1"/>
    <w:rsid w:val="00935813"/>
    <w:rsid w:val="0094130A"/>
    <w:rsid w:val="009420C8"/>
    <w:rsid w:val="00943C8B"/>
    <w:rsid w:val="00946315"/>
    <w:rsid w:val="00950272"/>
    <w:rsid w:val="009505A7"/>
    <w:rsid w:val="00954D53"/>
    <w:rsid w:val="00954EBB"/>
    <w:rsid w:val="00956109"/>
    <w:rsid w:val="009600C4"/>
    <w:rsid w:val="0096030C"/>
    <w:rsid w:val="0096054F"/>
    <w:rsid w:val="00961DED"/>
    <w:rsid w:val="00962566"/>
    <w:rsid w:val="00966853"/>
    <w:rsid w:val="009673C2"/>
    <w:rsid w:val="00970373"/>
    <w:rsid w:val="009718D1"/>
    <w:rsid w:val="0097566C"/>
    <w:rsid w:val="00976615"/>
    <w:rsid w:val="00977122"/>
    <w:rsid w:val="0098447D"/>
    <w:rsid w:val="0098567F"/>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7607"/>
    <w:rsid w:val="00A04F2A"/>
    <w:rsid w:val="00A10D42"/>
    <w:rsid w:val="00A116A0"/>
    <w:rsid w:val="00A11A45"/>
    <w:rsid w:val="00A15C70"/>
    <w:rsid w:val="00A167BE"/>
    <w:rsid w:val="00A17D67"/>
    <w:rsid w:val="00A25128"/>
    <w:rsid w:val="00A307F8"/>
    <w:rsid w:val="00A30923"/>
    <w:rsid w:val="00A315E3"/>
    <w:rsid w:val="00A328A2"/>
    <w:rsid w:val="00A34971"/>
    <w:rsid w:val="00A353DD"/>
    <w:rsid w:val="00A45C69"/>
    <w:rsid w:val="00A46198"/>
    <w:rsid w:val="00A47107"/>
    <w:rsid w:val="00A517EF"/>
    <w:rsid w:val="00A51DCB"/>
    <w:rsid w:val="00A52B8B"/>
    <w:rsid w:val="00A53D14"/>
    <w:rsid w:val="00A53F81"/>
    <w:rsid w:val="00A549C2"/>
    <w:rsid w:val="00A55D21"/>
    <w:rsid w:val="00A56496"/>
    <w:rsid w:val="00A57AD8"/>
    <w:rsid w:val="00A624C0"/>
    <w:rsid w:val="00A6324D"/>
    <w:rsid w:val="00A6608F"/>
    <w:rsid w:val="00A72325"/>
    <w:rsid w:val="00A770F1"/>
    <w:rsid w:val="00A77CCB"/>
    <w:rsid w:val="00A77E51"/>
    <w:rsid w:val="00A812C2"/>
    <w:rsid w:val="00A82989"/>
    <w:rsid w:val="00A8315B"/>
    <w:rsid w:val="00A84999"/>
    <w:rsid w:val="00A84F20"/>
    <w:rsid w:val="00A857B5"/>
    <w:rsid w:val="00A8730F"/>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2AA6"/>
    <w:rsid w:val="00AC3983"/>
    <w:rsid w:val="00AC733E"/>
    <w:rsid w:val="00AD3CC2"/>
    <w:rsid w:val="00AD3E3F"/>
    <w:rsid w:val="00AD4335"/>
    <w:rsid w:val="00AD6423"/>
    <w:rsid w:val="00AD73C1"/>
    <w:rsid w:val="00AD7D8B"/>
    <w:rsid w:val="00AE0DB0"/>
    <w:rsid w:val="00AE2389"/>
    <w:rsid w:val="00AE7938"/>
    <w:rsid w:val="00AF0505"/>
    <w:rsid w:val="00AF0C73"/>
    <w:rsid w:val="00AF2933"/>
    <w:rsid w:val="00AF4425"/>
    <w:rsid w:val="00AF4CA9"/>
    <w:rsid w:val="00AF5CBA"/>
    <w:rsid w:val="00AF5E77"/>
    <w:rsid w:val="00AF6AF2"/>
    <w:rsid w:val="00AF7A0F"/>
    <w:rsid w:val="00B00129"/>
    <w:rsid w:val="00B03736"/>
    <w:rsid w:val="00B03988"/>
    <w:rsid w:val="00B03E3A"/>
    <w:rsid w:val="00B074EB"/>
    <w:rsid w:val="00B10065"/>
    <w:rsid w:val="00B100E5"/>
    <w:rsid w:val="00B10A08"/>
    <w:rsid w:val="00B113ED"/>
    <w:rsid w:val="00B1404F"/>
    <w:rsid w:val="00B177DD"/>
    <w:rsid w:val="00B20443"/>
    <w:rsid w:val="00B224F2"/>
    <w:rsid w:val="00B23705"/>
    <w:rsid w:val="00B23BF2"/>
    <w:rsid w:val="00B24078"/>
    <w:rsid w:val="00B24513"/>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499F"/>
    <w:rsid w:val="00B561C7"/>
    <w:rsid w:val="00B57E31"/>
    <w:rsid w:val="00B60568"/>
    <w:rsid w:val="00B61AE2"/>
    <w:rsid w:val="00B64D0A"/>
    <w:rsid w:val="00B71E29"/>
    <w:rsid w:val="00B72781"/>
    <w:rsid w:val="00B74655"/>
    <w:rsid w:val="00B7523E"/>
    <w:rsid w:val="00B753CF"/>
    <w:rsid w:val="00B7550F"/>
    <w:rsid w:val="00B76020"/>
    <w:rsid w:val="00B76A85"/>
    <w:rsid w:val="00B77567"/>
    <w:rsid w:val="00B81F12"/>
    <w:rsid w:val="00B82192"/>
    <w:rsid w:val="00B86088"/>
    <w:rsid w:val="00B877CC"/>
    <w:rsid w:val="00B87EDF"/>
    <w:rsid w:val="00B90EDB"/>
    <w:rsid w:val="00B9250E"/>
    <w:rsid w:val="00B9288F"/>
    <w:rsid w:val="00B94B0F"/>
    <w:rsid w:val="00B95964"/>
    <w:rsid w:val="00B96E71"/>
    <w:rsid w:val="00BA3C61"/>
    <w:rsid w:val="00BA4DF2"/>
    <w:rsid w:val="00BA4FF3"/>
    <w:rsid w:val="00BA7246"/>
    <w:rsid w:val="00BB0856"/>
    <w:rsid w:val="00BB140D"/>
    <w:rsid w:val="00BB2DCE"/>
    <w:rsid w:val="00BB4B02"/>
    <w:rsid w:val="00BC0AD4"/>
    <w:rsid w:val="00BC1273"/>
    <w:rsid w:val="00BC2D2F"/>
    <w:rsid w:val="00BE0EF3"/>
    <w:rsid w:val="00BE1BA1"/>
    <w:rsid w:val="00BE3C14"/>
    <w:rsid w:val="00BE5C5C"/>
    <w:rsid w:val="00BF3C2F"/>
    <w:rsid w:val="00BF4421"/>
    <w:rsid w:val="00C00824"/>
    <w:rsid w:val="00C01262"/>
    <w:rsid w:val="00C02544"/>
    <w:rsid w:val="00C03FE3"/>
    <w:rsid w:val="00C06D5E"/>
    <w:rsid w:val="00C07551"/>
    <w:rsid w:val="00C07AB7"/>
    <w:rsid w:val="00C10C7E"/>
    <w:rsid w:val="00C1219E"/>
    <w:rsid w:val="00C12F7C"/>
    <w:rsid w:val="00C1532A"/>
    <w:rsid w:val="00C21D61"/>
    <w:rsid w:val="00C226C5"/>
    <w:rsid w:val="00C2400B"/>
    <w:rsid w:val="00C240C2"/>
    <w:rsid w:val="00C26F39"/>
    <w:rsid w:val="00C32014"/>
    <w:rsid w:val="00C32114"/>
    <w:rsid w:val="00C32D04"/>
    <w:rsid w:val="00C3557A"/>
    <w:rsid w:val="00C35C3E"/>
    <w:rsid w:val="00C44D20"/>
    <w:rsid w:val="00C45431"/>
    <w:rsid w:val="00C45FFE"/>
    <w:rsid w:val="00C46A5D"/>
    <w:rsid w:val="00C5003E"/>
    <w:rsid w:val="00C50486"/>
    <w:rsid w:val="00C51D0C"/>
    <w:rsid w:val="00C5603A"/>
    <w:rsid w:val="00C56833"/>
    <w:rsid w:val="00C56E53"/>
    <w:rsid w:val="00C60AC9"/>
    <w:rsid w:val="00C61BD1"/>
    <w:rsid w:val="00C6783B"/>
    <w:rsid w:val="00C74AEF"/>
    <w:rsid w:val="00C761C1"/>
    <w:rsid w:val="00C766A4"/>
    <w:rsid w:val="00C77F34"/>
    <w:rsid w:val="00C829AC"/>
    <w:rsid w:val="00C83458"/>
    <w:rsid w:val="00C83E56"/>
    <w:rsid w:val="00C87836"/>
    <w:rsid w:val="00C908CF"/>
    <w:rsid w:val="00C90948"/>
    <w:rsid w:val="00C9169F"/>
    <w:rsid w:val="00C92AF9"/>
    <w:rsid w:val="00C94D44"/>
    <w:rsid w:val="00C9521B"/>
    <w:rsid w:val="00CA134D"/>
    <w:rsid w:val="00CA347B"/>
    <w:rsid w:val="00CA40E2"/>
    <w:rsid w:val="00CA6DFB"/>
    <w:rsid w:val="00CB171D"/>
    <w:rsid w:val="00CB1E67"/>
    <w:rsid w:val="00CB4EA2"/>
    <w:rsid w:val="00CB6B45"/>
    <w:rsid w:val="00CC1CFE"/>
    <w:rsid w:val="00CC2E7E"/>
    <w:rsid w:val="00CC2E9A"/>
    <w:rsid w:val="00CC2FB1"/>
    <w:rsid w:val="00CC358C"/>
    <w:rsid w:val="00CC3F06"/>
    <w:rsid w:val="00CD230E"/>
    <w:rsid w:val="00CD36F5"/>
    <w:rsid w:val="00CD4BD5"/>
    <w:rsid w:val="00CD6C1C"/>
    <w:rsid w:val="00CD6C4E"/>
    <w:rsid w:val="00CE3E8B"/>
    <w:rsid w:val="00CE5127"/>
    <w:rsid w:val="00CE6D8D"/>
    <w:rsid w:val="00CE74FB"/>
    <w:rsid w:val="00CE7E70"/>
    <w:rsid w:val="00CF17FB"/>
    <w:rsid w:val="00CF2230"/>
    <w:rsid w:val="00CF30EF"/>
    <w:rsid w:val="00CF3165"/>
    <w:rsid w:val="00CF3819"/>
    <w:rsid w:val="00CF4CB6"/>
    <w:rsid w:val="00D00213"/>
    <w:rsid w:val="00D00FAA"/>
    <w:rsid w:val="00D0369A"/>
    <w:rsid w:val="00D114F8"/>
    <w:rsid w:val="00D1367A"/>
    <w:rsid w:val="00D20034"/>
    <w:rsid w:val="00D210A7"/>
    <w:rsid w:val="00D21391"/>
    <w:rsid w:val="00D22E26"/>
    <w:rsid w:val="00D24861"/>
    <w:rsid w:val="00D2529E"/>
    <w:rsid w:val="00D3208D"/>
    <w:rsid w:val="00D3420A"/>
    <w:rsid w:val="00D35B3D"/>
    <w:rsid w:val="00D3699F"/>
    <w:rsid w:val="00D40FCB"/>
    <w:rsid w:val="00D415F0"/>
    <w:rsid w:val="00D43454"/>
    <w:rsid w:val="00D45657"/>
    <w:rsid w:val="00D5193D"/>
    <w:rsid w:val="00D52E46"/>
    <w:rsid w:val="00D57735"/>
    <w:rsid w:val="00D57E03"/>
    <w:rsid w:val="00D620BA"/>
    <w:rsid w:val="00D621BB"/>
    <w:rsid w:val="00D62530"/>
    <w:rsid w:val="00D65CEF"/>
    <w:rsid w:val="00D66097"/>
    <w:rsid w:val="00D709B7"/>
    <w:rsid w:val="00D75548"/>
    <w:rsid w:val="00D80F7E"/>
    <w:rsid w:val="00D81C65"/>
    <w:rsid w:val="00D834AB"/>
    <w:rsid w:val="00D84406"/>
    <w:rsid w:val="00D92533"/>
    <w:rsid w:val="00D92CB5"/>
    <w:rsid w:val="00D936CC"/>
    <w:rsid w:val="00D95234"/>
    <w:rsid w:val="00D97F49"/>
    <w:rsid w:val="00DA1D30"/>
    <w:rsid w:val="00DA3470"/>
    <w:rsid w:val="00DA40CF"/>
    <w:rsid w:val="00DA529C"/>
    <w:rsid w:val="00DA5D84"/>
    <w:rsid w:val="00DB2F50"/>
    <w:rsid w:val="00DB6C32"/>
    <w:rsid w:val="00DC0E3F"/>
    <w:rsid w:val="00DC14C3"/>
    <w:rsid w:val="00DC278D"/>
    <w:rsid w:val="00DC3625"/>
    <w:rsid w:val="00DC44B8"/>
    <w:rsid w:val="00DC5180"/>
    <w:rsid w:val="00DC5931"/>
    <w:rsid w:val="00DC6087"/>
    <w:rsid w:val="00DD050E"/>
    <w:rsid w:val="00DD34BB"/>
    <w:rsid w:val="00DD7F56"/>
    <w:rsid w:val="00DE00E1"/>
    <w:rsid w:val="00DE073D"/>
    <w:rsid w:val="00DE1D7C"/>
    <w:rsid w:val="00DE3375"/>
    <w:rsid w:val="00DE6416"/>
    <w:rsid w:val="00DF20C1"/>
    <w:rsid w:val="00DF39DE"/>
    <w:rsid w:val="00DF46AC"/>
    <w:rsid w:val="00DF46FA"/>
    <w:rsid w:val="00E00A95"/>
    <w:rsid w:val="00E02157"/>
    <w:rsid w:val="00E033EA"/>
    <w:rsid w:val="00E06F3E"/>
    <w:rsid w:val="00E07822"/>
    <w:rsid w:val="00E07880"/>
    <w:rsid w:val="00E166DD"/>
    <w:rsid w:val="00E175AA"/>
    <w:rsid w:val="00E2087E"/>
    <w:rsid w:val="00E20DAE"/>
    <w:rsid w:val="00E21827"/>
    <w:rsid w:val="00E30BA1"/>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616F"/>
    <w:rsid w:val="00E56DB5"/>
    <w:rsid w:val="00E643B7"/>
    <w:rsid w:val="00E65216"/>
    <w:rsid w:val="00E716B6"/>
    <w:rsid w:val="00E72568"/>
    <w:rsid w:val="00E727F4"/>
    <w:rsid w:val="00E733D3"/>
    <w:rsid w:val="00E73716"/>
    <w:rsid w:val="00E73A82"/>
    <w:rsid w:val="00E73F5D"/>
    <w:rsid w:val="00E7712B"/>
    <w:rsid w:val="00E82F3C"/>
    <w:rsid w:val="00E85889"/>
    <w:rsid w:val="00E85F30"/>
    <w:rsid w:val="00E8767B"/>
    <w:rsid w:val="00E90AB3"/>
    <w:rsid w:val="00E94F37"/>
    <w:rsid w:val="00E954F6"/>
    <w:rsid w:val="00E96910"/>
    <w:rsid w:val="00E96CC5"/>
    <w:rsid w:val="00EA01B7"/>
    <w:rsid w:val="00EA176A"/>
    <w:rsid w:val="00EA17CA"/>
    <w:rsid w:val="00EA33CB"/>
    <w:rsid w:val="00EA438F"/>
    <w:rsid w:val="00EB018E"/>
    <w:rsid w:val="00EB2720"/>
    <w:rsid w:val="00EB4A86"/>
    <w:rsid w:val="00EB5C37"/>
    <w:rsid w:val="00EB73E3"/>
    <w:rsid w:val="00EB750D"/>
    <w:rsid w:val="00EC4485"/>
    <w:rsid w:val="00EC56D8"/>
    <w:rsid w:val="00EC61AF"/>
    <w:rsid w:val="00ED414A"/>
    <w:rsid w:val="00ED5D70"/>
    <w:rsid w:val="00ED60E7"/>
    <w:rsid w:val="00EE076D"/>
    <w:rsid w:val="00EE4179"/>
    <w:rsid w:val="00EE45C2"/>
    <w:rsid w:val="00EE6D67"/>
    <w:rsid w:val="00EE759B"/>
    <w:rsid w:val="00EE795F"/>
    <w:rsid w:val="00EF1E99"/>
    <w:rsid w:val="00EF4DBE"/>
    <w:rsid w:val="00EF60CC"/>
    <w:rsid w:val="00EF7949"/>
    <w:rsid w:val="00F00686"/>
    <w:rsid w:val="00F016D1"/>
    <w:rsid w:val="00F02B45"/>
    <w:rsid w:val="00F03916"/>
    <w:rsid w:val="00F03A94"/>
    <w:rsid w:val="00F03E83"/>
    <w:rsid w:val="00F06E5E"/>
    <w:rsid w:val="00F07CA3"/>
    <w:rsid w:val="00F12D76"/>
    <w:rsid w:val="00F13034"/>
    <w:rsid w:val="00F2146C"/>
    <w:rsid w:val="00F22B0E"/>
    <w:rsid w:val="00F22DEF"/>
    <w:rsid w:val="00F27C19"/>
    <w:rsid w:val="00F313FB"/>
    <w:rsid w:val="00F32110"/>
    <w:rsid w:val="00F322C2"/>
    <w:rsid w:val="00F33934"/>
    <w:rsid w:val="00F344F2"/>
    <w:rsid w:val="00F36BB8"/>
    <w:rsid w:val="00F377E7"/>
    <w:rsid w:val="00F40717"/>
    <w:rsid w:val="00F4112C"/>
    <w:rsid w:val="00F4191D"/>
    <w:rsid w:val="00F41AE3"/>
    <w:rsid w:val="00F4498C"/>
    <w:rsid w:val="00F44D73"/>
    <w:rsid w:val="00F51864"/>
    <w:rsid w:val="00F5224C"/>
    <w:rsid w:val="00F541BA"/>
    <w:rsid w:val="00F56263"/>
    <w:rsid w:val="00F56FF3"/>
    <w:rsid w:val="00F62A38"/>
    <w:rsid w:val="00F70BAE"/>
    <w:rsid w:val="00F72902"/>
    <w:rsid w:val="00F74187"/>
    <w:rsid w:val="00F75883"/>
    <w:rsid w:val="00F80B98"/>
    <w:rsid w:val="00F8461D"/>
    <w:rsid w:val="00F8462C"/>
    <w:rsid w:val="00F84747"/>
    <w:rsid w:val="00F86AB5"/>
    <w:rsid w:val="00F91D60"/>
    <w:rsid w:val="00F92A73"/>
    <w:rsid w:val="00F93367"/>
    <w:rsid w:val="00F94ED5"/>
    <w:rsid w:val="00F95ED1"/>
    <w:rsid w:val="00F97180"/>
    <w:rsid w:val="00FA0787"/>
    <w:rsid w:val="00FA5152"/>
    <w:rsid w:val="00FA6FCA"/>
    <w:rsid w:val="00FA7161"/>
    <w:rsid w:val="00FB02D9"/>
    <w:rsid w:val="00FB12F1"/>
    <w:rsid w:val="00FB2922"/>
    <w:rsid w:val="00FB54CE"/>
    <w:rsid w:val="00FB7964"/>
    <w:rsid w:val="00FC3E6D"/>
    <w:rsid w:val="00FC5989"/>
    <w:rsid w:val="00FC5DDC"/>
    <w:rsid w:val="00FC7A49"/>
    <w:rsid w:val="00FC7B97"/>
    <w:rsid w:val="00FC7C9C"/>
    <w:rsid w:val="00FD38F0"/>
    <w:rsid w:val="00FD7C6A"/>
    <w:rsid w:val="00FE023B"/>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4C9"/>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10</cp:revision>
  <dcterms:created xsi:type="dcterms:W3CDTF">2020-08-07T01:59:00Z</dcterms:created>
  <dcterms:modified xsi:type="dcterms:W3CDTF">2020-08-07T23:30:00Z</dcterms:modified>
</cp:coreProperties>
</file>